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ПРОЕКТ</w:t>
      </w:r>
    </w:p>
    <w:p>
      <w:pPr>
        <w:pStyle w:val="Normal"/>
        <w:tabs>
          <w:tab w:val="clear" w:pos="708"/>
          <w:tab w:val="left" w:pos="283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Совет</w:t>
      </w:r>
    </w:p>
    <w:p>
      <w:pPr>
        <w:pStyle w:val="Normal"/>
        <w:tabs>
          <w:tab w:val="clear" w:pos="708"/>
          <w:tab w:val="left" w:pos="283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Дрожжановского муниципального района</w:t>
      </w:r>
    </w:p>
    <w:p>
      <w:pPr>
        <w:pStyle w:val="Normal"/>
        <w:tabs>
          <w:tab w:val="clear" w:pos="708"/>
          <w:tab w:val="left" w:pos="283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Республики Татарстан</w:t>
      </w:r>
    </w:p>
    <w:p>
      <w:pPr>
        <w:pStyle w:val="Normal"/>
        <w:tabs>
          <w:tab w:val="clear" w:pos="708"/>
          <w:tab w:val="left" w:pos="283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Р 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13 ноября 2025 года</w:t>
        <w:tab/>
        <w:tab/>
        <w:tab/>
        <w:tab/>
        <w:tab/>
        <w:tab/>
        <w:t xml:space="preserve">                            № 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Nimbus Roman" w:hAnsi="Nimbus Roman"/>
          <w:sz w:val="28"/>
          <w:szCs w:val="28"/>
        </w:rPr>
        <w:t xml:space="preserve"> </w:t>
      </w:r>
      <w:r>
        <w:rPr>
          <w:rFonts w:cs="Times New Roman" w:ascii="Nimbus Roman" w:hAnsi="Nimbus Roman"/>
          <w:color w:val="000000"/>
          <w:sz w:val="28"/>
          <w:szCs w:val="28"/>
        </w:rPr>
        <w:t>проекте решения «О внесении изменений и дополнений в Устав Дрожжановского муниципального района Республики Татарстан»</w:t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В соответствии с подпунктом 1 пункта 1 статьи 29 Устава Дрожжановского муниципального района Республики Татарстан Совет Дрожжановского муниципального     района     Республики    Татарстан   РЕШИЛ: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1. Принять проект решения «О внесении изменений и дополнений в Устав Дрожжановского муниципального района Республики Татарстан» в первом чтении.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2. Внести в Устав Дрожжановского муниципального района Республики Татарстан изменения и дополнения согласно приложению.  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3. Назначить публичные слушания по проекту решения на 1 декабря 2025 года в 10:00 часов в районном Доме культуры (зрительный зал). 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Публичные слушания проводятся в соответствии с решением Совета Дрожжановского муниципального района Республики Татарстан от 27.05.2021 № 9/3 «Об утверждении Положения о порядке организации и проведения публичных слушаний (общественных обсуждений) в Дрожжановском муниципальном районе Республики Татарстан», который размещён на официальном сайте Дрожжановского муниципального района и опубликован на Официальном портале правовой информации Республики Татарстан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4. Учет замечаний и предложений по проекту муниципального правового акта по внесению изменений и дополнений в Устав Дрожжановского муниципального района Республики Татарстан проводится в соответствии с порядком, утвержденным решением Совета Дрожжановского муниципального района от 25.04.2012 № 18/1, который размещён в Портале муниципальных образований Республики Татарстан на официальном сайте Дрожжановского муниципального района и опубликован в газете «Туган як».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5. Замечания и предложения граждан по настоящему проекту решения принимаются до 28 ноября 2025 года по адресу: село Старое Дрожжаное, улица Центральная, дом 13, кабинет № 114. 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6. Постоянной комиссии Совета Дрожжановского муниципального района Республики Татарстан по законности, правопорядку и местному самоуправлению изучить и обобщить поправки депутатов Совета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Дрожжановского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7. Опубликовать настоящее решение в газете «Туган як».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8. Настоящее Решение вступает в силу в день официального опубликования, за исключением положений, вступающих в силу в иные сроки, установленные действующим законодательством.</w:t>
      </w:r>
    </w:p>
    <w:p>
      <w:pPr>
        <w:pStyle w:val="Normal"/>
        <w:spacing w:lineRule="auto" w:line="240" w:before="0" w:after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    </w:t>
      </w:r>
    </w:p>
    <w:p>
      <w:pPr>
        <w:pStyle w:val="Normal"/>
        <w:spacing w:lineRule="auto" w:line="240" w:before="0" w:after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eastAsia="Times New Roman" w:cs="Times New Roman" w:ascii="Nimbus Roman" w:hAnsi="Nimbus Roman"/>
          <w:color w:val="000000"/>
          <w:sz w:val="28"/>
          <w:szCs w:val="28"/>
          <w:lang w:eastAsia="ru-RU"/>
        </w:rPr>
        <w:t>Глава Дрожжановского муниципального</w:t>
      </w:r>
    </w:p>
    <w:p>
      <w:pPr>
        <w:pStyle w:val="Normal"/>
        <w:spacing w:lineRule="auto" w:line="240" w:before="0" w:after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eastAsia="Times New Roman" w:cs="Times New Roman" w:ascii="Nimbus Roman" w:hAnsi="Nimbus Roman"/>
          <w:color w:val="000000"/>
          <w:sz w:val="28"/>
          <w:szCs w:val="28"/>
          <w:lang w:eastAsia="ru-RU"/>
        </w:rPr>
        <w:t>района Республики Татарстан, Председатель</w:t>
      </w:r>
    </w:p>
    <w:p>
      <w:pPr>
        <w:pStyle w:val="Normal"/>
        <w:spacing w:lineRule="auto" w:line="240" w:before="0" w:after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eastAsia="Times New Roman" w:cs="Times New Roman" w:ascii="Nimbus Roman" w:hAnsi="Nimbus Roman"/>
          <w:color w:val="000000"/>
          <w:sz w:val="28"/>
          <w:szCs w:val="28"/>
          <w:lang w:eastAsia="ru-RU"/>
        </w:rPr>
        <w:t xml:space="preserve">Совета Дрожжановского муниципального </w:t>
      </w:r>
    </w:p>
    <w:p>
      <w:pPr>
        <w:pStyle w:val="Normal"/>
        <w:spacing w:lineRule="auto" w:line="240" w:before="0" w:after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eastAsia="Times New Roman" w:cs="Times New Roman" w:ascii="Nimbus Roman" w:hAnsi="Nimbus Roman"/>
          <w:color w:val="000000"/>
          <w:sz w:val="28"/>
          <w:szCs w:val="28"/>
          <w:lang w:eastAsia="ru-RU"/>
        </w:rPr>
        <w:t>района Республики Татарстан                                                               М.Р. Гафаров</w:t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Nimbus Roman" w:hAnsi="Nimbus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Nimbus Roman" w:hAnsi="Nimbus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637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firstLine="637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к решению Совета </w:t>
      </w:r>
    </w:p>
    <w:p>
      <w:pPr>
        <w:pStyle w:val="Normal"/>
        <w:spacing w:lineRule="auto" w:line="240" w:before="0" w:after="0"/>
        <w:ind w:firstLine="637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Дрожжановского</w:t>
      </w:r>
    </w:p>
    <w:p>
      <w:pPr>
        <w:pStyle w:val="Normal"/>
        <w:spacing w:lineRule="auto" w:line="240" w:before="0" w:after="0"/>
        <w:ind w:firstLine="637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firstLine="637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ind w:firstLine="637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от 13.11.2025 № _____</w:t>
      </w:r>
    </w:p>
    <w:p>
      <w:pPr>
        <w:pStyle w:val="Normal"/>
        <w:spacing w:lineRule="auto" w:line="240" w:before="0" w:after="0"/>
        <w:jc w:val="center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Изменения и дополнения </w:t>
      </w:r>
    </w:p>
    <w:p>
      <w:pPr>
        <w:pStyle w:val="Normal"/>
        <w:spacing w:lineRule="auto" w:line="240" w:before="0" w:after="0"/>
        <w:jc w:val="center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в Устав Дрожжановского муниципального </w:t>
      </w:r>
    </w:p>
    <w:p>
      <w:pPr>
        <w:pStyle w:val="Normal"/>
        <w:spacing w:lineRule="auto" w:line="240" w:before="0" w:after="0"/>
        <w:jc w:val="center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Nimbus Roman" w:hAnsi="Nimbus Roman" w:cs="Times New Roman"/>
          <w:color w:val="000000"/>
          <w:sz w:val="24"/>
          <w:szCs w:val="24"/>
        </w:rPr>
      </w:pPr>
      <w:r>
        <w:rPr>
          <w:rFonts w:cs="Times New Roman" w:ascii="Nimbus Roman" w:hAnsi="Nimbus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b/>
          <w:color w:val="000000"/>
          <w:sz w:val="28"/>
          <w:szCs w:val="28"/>
        </w:rPr>
        <w:t>1) в статье 7: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b/>
          <w:color w:val="000000"/>
          <w:sz w:val="28"/>
          <w:szCs w:val="28"/>
        </w:rPr>
        <w:t xml:space="preserve">а) подпункт 11 пункта 1 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Nimbus Roman" w:hAnsi="Nimbus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созданий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4"/>
          <w:szCs w:val="24"/>
        </w:rPr>
      </w:pPr>
      <w:r>
        <w:rPr>
          <w:rFonts w:ascii="Nimbus Roman" w:hAnsi="Nimbus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b/>
          <w:color w:val="000000"/>
          <w:sz w:val="28"/>
          <w:szCs w:val="28"/>
        </w:rPr>
        <w:t>5) в статье 44: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 w:cs="Times New Roman"/>
          <w:b/>
          <w:color w:val="000000"/>
          <w:sz w:val="28"/>
          <w:szCs w:val="28"/>
        </w:rPr>
      </w:pPr>
      <w:r>
        <w:rPr>
          <w:rFonts w:cs="Times New Roman" w:ascii="Nimbus Roman" w:hAnsi="Nimbus Roman"/>
          <w:b/>
          <w:color w:val="000000"/>
          <w:sz w:val="28"/>
          <w:szCs w:val="28"/>
        </w:rPr>
        <w:t xml:space="preserve"> </w:t>
      </w:r>
      <w:r>
        <w:rPr>
          <w:rFonts w:cs="Times New Roman" w:ascii="Nimbus Roman" w:hAnsi="Nimbus Roman"/>
          <w:b/>
          <w:color w:val="000000"/>
          <w:sz w:val="28"/>
          <w:szCs w:val="28"/>
        </w:rPr>
        <w:t xml:space="preserve">а) абзац третий подпункта 6 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«- </w:t>
      </w:r>
      <w:r>
        <w:rPr>
          <w:rFonts w:cs="Times New Roman" w:ascii="Nimbus Roman" w:hAnsi="Nimbus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>
        <w:rPr>
          <w:rFonts w:cs="Times New Roman" w:ascii="Nimbus Roman" w:hAnsi="Nimbus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Республики Татарстан),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 w:cs="Times New Roman"/>
          <w:b/>
          <w:color w:val="000000"/>
          <w:sz w:val="28"/>
          <w:szCs w:val="28"/>
        </w:rPr>
      </w:pPr>
      <w:r>
        <w:rPr>
          <w:rFonts w:cs="Times New Roman" w:ascii="Nimbus Roman" w:hAnsi="Nimbus Roman"/>
          <w:b/>
          <w:color w:val="000000"/>
          <w:sz w:val="28"/>
          <w:szCs w:val="28"/>
        </w:rPr>
        <w:t xml:space="preserve">б) дополнить подпунктом 10 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>следуюшего содержания:</w:t>
      </w:r>
    </w:p>
    <w:p>
      <w:pPr>
        <w:pStyle w:val="Normal"/>
        <w:spacing w:lineRule="auto" w:line="240" w:before="0" w:after="29"/>
        <w:ind w:firstLine="567" w:right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«10) в области регулирования социально-трудовых отношений:</w:t>
      </w:r>
    </w:p>
    <w:p>
      <w:pPr>
        <w:pStyle w:val="Normal"/>
        <w:spacing w:lineRule="auto" w:line="240" w:before="0" w:after="29"/>
        <w:ind w:firstLine="567" w:right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обеспечивает реализацию принципов социального партнерства в сфере регулирования социально-трудовых и иные непосредственно связанных с ними отношения;</w:t>
      </w:r>
    </w:p>
    <w:p>
      <w:pPr>
        <w:pStyle w:val="Normal"/>
        <w:spacing w:lineRule="auto" w:line="240" w:before="0" w:after="29"/>
        <w:ind w:firstLine="567" w:right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- обеспечивает информационное обеспечение вопросов социального партнерства в Районе в средствах массовой информации, на официальном сайте Района в информационно-телекоммуникационной сети «Интернет»; </w:t>
      </w:r>
    </w:p>
    <w:p>
      <w:pPr>
        <w:pStyle w:val="Normal"/>
        <w:spacing w:lineRule="auto" w:line="240" w:before="0" w:after="29"/>
        <w:ind w:firstLine="567" w:right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обеспечивает деятельность Территориальной трехсторонней комиссии по регулированию социально-трудовых отношений в районе (далее – Территориальная комиссия);</w:t>
      </w:r>
    </w:p>
    <w:p>
      <w:pPr>
        <w:pStyle w:val="Normal"/>
        <w:spacing w:lineRule="auto" w:line="240" w:before="0" w:after="29"/>
        <w:ind w:firstLine="567" w:right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- обеспечивает рассмотрение проектов нормативных правовых актов органов местного самоуправления Района, регулирующих трудовые и иные непосредственно связанные с ними отношения, на заседаниях Территориальной комиссии до их внесения в Совет Района или до принятия по ним решений органами местного самоуправления Района; </w:t>
      </w:r>
    </w:p>
    <w:p>
      <w:pPr>
        <w:pStyle w:val="Normal"/>
        <w:spacing w:lineRule="auto" w:line="240" w:before="0" w:after="29"/>
        <w:ind w:firstLine="567" w:right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- обеспечивает доведение до сведения Совета Района и рассмотрение органами местного самоуправления Района решений Территориальной комиссии, а при наличии неурегулированных разногласий – мнений её Сторон в отношении направленных в Территориальную комиссию проектов нормативных правовых актов в сфере труда;  </w:t>
      </w:r>
    </w:p>
    <w:p>
      <w:pPr>
        <w:pStyle w:val="Normal"/>
        <w:spacing w:lineRule="auto" w:line="240" w:before="0" w:after="29"/>
        <w:ind w:firstLine="567" w:right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- обеспечивает согласование в рамках социального партнерства проектов нормативных правовых актов, регулирующих социально-трудовые и иные непосредственно связанные с ними отношения, с профсоюзами (объединениями профсоюзов), работодателями (объединениями работодателей); </w:t>
      </w:r>
    </w:p>
    <w:p>
      <w:pPr>
        <w:pStyle w:val="Normal"/>
        <w:spacing w:lineRule="auto" w:line="240" w:before="0" w:after="29"/>
        <w:ind w:firstLine="567" w:right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- обеспечивает включение представителей профсоюзной стороны и стороны от работодателей в состав комиссий, рабочих групп, советов по социально-трудовым вопросам, создаваемых Исполнительным комитетом, и участие в их работе.».</w:t>
      </w:r>
    </w:p>
    <w:p>
      <w:pPr>
        <w:pStyle w:val="Normal"/>
        <w:spacing w:lineRule="auto" w:line="240" w:before="0" w:after="0"/>
        <w:jc w:val="both"/>
        <w:rPr>
          <w:rFonts w:ascii="Nimbus Roman" w:hAnsi="Nimbus Roman" w:cs="Times New Roman"/>
          <w:color w:val="000000"/>
          <w:sz w:val="24"/>
          <w:szCs w:val="24"/>
        </w:rPr>
      </w:pPr>
      <w:r>
        <w:rPr>
          <w:rFonts w:cs="Times New Roman" w:ascii="Nimbus Roman" w:hAnsi="Nimbus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 xml:space="preserve">Глава Дрожжановского муниципального </w:t>
      </w:r>
    </w:p>
    <w:p>
      <w:pPr>
        <w:pStyle w:val="Normal"/>
        <w:spacing w:lineRule="auto" w:line="240" w:before="0" w:after="0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района Республики Татарстан                                                               М.Р. Гафаров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569" w:bottom="98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74935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044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957f3"/>
    <w:rPr>
      <w:color w:themeColor="hyperlink"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f47fc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47fc5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337e5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6c1fe1"/>
    <w:pPr/>
    <w:rPr>
      <w:rFonts w:ascii="Times New Roman" w:hAnsi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47fc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f47fc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7455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paragraph" w:customStyle="1">
    <w:name w:val="paragraph"/>
    <w:basedOn w:val="Normal"/>
    <w:qFormat/>
    <w:rsid w:val="001508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5752a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2252a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337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BE5C-44E6-4FB6-A5C4-85BBFC8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LibreOffice/25.2.3.2$Linux_X86_64 LibreOffice_project/520$Build-2</Application>
  <AppVersion>15.0000</AppVersion>
  <Pages>4</Pages>
  <Words>826</Words>
  <Characters>6362</Characters>
  <CharactersWithSpaces>7336</CharactersWithSpaces>
  <Paragraphs>50</Paragraphs>
  <Company>ТРО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2024-10-17T07:40:00Z</dcterms:created>
  <dc:creator>СПЕЦ</dc:creator>
  <dc:description/>
  <dc:language>ru-RU</dc:language>
  <cp:lastModifiedBy/>
  <cp:lastPrinted>2022-11-07T07:23:00Z</cp:lastPrinted>
  <dcterms:modified xsi:type="dcterms:W3CDTF">2025-11-11T16:26:13Z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