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jc w:val="right"/>
        <w:rPr>
          <w:rFonts w:ascii="Times New Roman" w:hAnsi="Times New Roman" w:cs="Times New Roman"/>
          <w:sz w:val="26"/>
          <w:szCs w:val="26"/>
        </w:rPr>
      </w:pPr>
      <w:r>
        <w:rPr/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ИНСТРУКЦИЯ ПО УЧАСТИЮ В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«ШКОЛА УТИЛИЗАЦИИ: ЭЛЕКТРОНИКА»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76257497"/>
      <w:r>
        <w:rPr>
          <w:rFonts w:cs="Times New Roman" w:ascii="Times New Roman" w:hAnsi="Times New Roman"/>
          <w:b/>
          <w:bCs/>
          <w:sz w:val="26"/>
          <w:szCs w:val="26"/>
        </w:rPr>
        <w:t>Реализация</w:t>
      </w:r>
      <w:r>
        <w:rPr>
          <w:rFonts w:cs="Times New Roman" w:ascii="Times New Roman" w:hAnsi="Times New Roman"/>
          <w:b/>
          <w:sz w:val="26"/>
          <w:szCs w:val="26"/>
        </w:rPr>
        <w:t xml:space="preserve"> Программы: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bookmarkEnd w:id="0"/>
      <w:r>
        <w:rPr>
          <w:rFonts w:cs="Times New Roman" w:ascii="Times New Roman" w:hAnsi="Times New Roman"/>
          <w:sz w:val="26"/>
          <w:szCs w:val="26"/>
        </w:rPr>
        <w:t xml:space="preserve">в рамках Программы участие могут принимать </w:t>
      </w:r>
      <w:r>
        <w:rPr>
          <w:rFonts w:cs="Times New Roman" w:ascii="Times New Roman" w:hAnsi="Times New Roman"/>
          <w:b/>
          <w:bCs/>
          <w:sz w:val="26"/>
          <w:szCs w:val="26"/>
        </w:rPr>
        <w:t>все</w:t>
      </w:r>
      <w:r>
        <w:rPr>
          <w:rFonts w:cs="Times New Roman" w:ascii="Times New Roman" w:hAnsi="Times New Roman"/>
          <w:sz w:val="26"/>
          <w:szCs w:val="26"/>
        </w:rPr>
        <w:t xml:space="preserve"> организации региона. </w:t>
      </w:r>
      <w:r>
        <w:rPr>
          <w:rFonts w:cs="Times New Roman" w:ascii="Times New Roman" w:hAnsi="Times New Roman"/>
          <w:b/>
          <w:bCs/>
          <w:sz w:val="26"/>
          <w:szCs w:val="26"/>
        </w:rPr>
        <w:t>Безвозмездный договор</w:t>
      </w:r>
      <w:r>
        <w:rPr>
          <w:rFonts w:cs="Times New Roman" w:ascii="Times New Roman" w:hAnsi="Times New Roman"/>
          <w:sz w:val="26"/>
          <w:szCs w:val="26"/>
        </w:rPr>
        <w:t xml:space="preserve">, заключаемый между вашей организацией и Фондом, не нарушает требований антимонопольного законодательства и </w:t>
      </w:r>
      <w:r>
        <w:rPr>
          <w:rFonts w:cs="Times New Roman" w:ascii="Times New Roman" w:hAnsi="Times New Roman"/>
          <w:b/>
          <w:bCs/>
          <w:sz w:val="26"/>
          <w:szCs w:val="26"/>
        </w:rPr>
        <w:t>не требует прохождения закупочных процедур</w:t>
      </w:r>
      <w:r>
        <w:rPr>
          <w:rFonts w:cs="Times New Roman" w:ascii="Times New Roman" w:hAnsi="Times New Roman"/>
          <w:sz w:val="26"/>
          <w:szCs w:val="26"/>
        </w:rPr>
        <w:t xml:space="preserve">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1. Кто может принимать участие в Программе: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сотрудники и посетители организаций,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органы государственной и муниципальной власти,</w:t>
      </w:r>
    </w:p>
    <w:p>
      <w:pPr>
        <w:pStyle w:val="Normal"/>
        <w:spacing w:lineRule="auto" w:line="240" w:before="0" w:after="0"/>
        <w:ind w:hanging="283" w:left="4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бюджетные учреждения (в том числе социальной сферы, образования, здравоохранения, культуры, спорта и т.д.),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коммерческие компании на льготных условиях.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2. </w:t>
      </w:r>
      <w:r>
        <w:rPr>
          <w:rFonts w:cs="Times New Roman" w:ascii="Times New Roman" w:hAnsi="Times New Roman"/>
          <w:b/>
          <w:sz w:val="26"/>
          <w:szCs w:val="26"/>
        </w:rPr>
        <w:t xml:space="preserve">На безвозмездную утилизацию принимаются: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компьютерная и офисная техника,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бытовая техника,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электроинструмент,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научная и медицинская техника,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телефоны и персональные гаджеты,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запчасти и аксессуары оборудования.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3. </w:t>
      </w:r>
      <w:r>
        <w:rPr>
          <w:rFonts w:cs="Times New Roman" w:ascii="Times New Roman" w:hAnsi="Times New Roman"/>
          <w:b/>
          <w:sz w:val="26"/>
          <w:szCs w:val="26"/>
        </w:rPr>
        <w:t>На утилизацию НЕ принимаются: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оборудование со знаком радиации,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картриджи печатающей техники,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люминесцентные лампы,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батарейки, ИБП, АКБ.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4. Сбор отслужившего оборудования от населения: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4.1. Сотрудники учреждений, волонтерские движения и экосообщества могут организовать агитационную кампанию на тему ответственного отношения к раздельному сбору электронных отходов и их утилизации.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За неделю</w:t>
      </w:r>
      <w:r>
        <w:rPr>
          <w:rFonts w:cs="Times New Roman" w:ascii="Times New Roman" w:hAnsi="Times New Roman"/>
          <w:sz w:val="26"/>
          <w:szCs w:val="26"/>
        </w:rPr>
        <w:t xml:space="preserve"> до обозначенной в графике Программы </w:t>
      </w:r>
      <w:r>
        <w:rPr>
          <w:rFonts w:cs="Times New Roman" w:ascii="Times New Roman" w:hAnsi="Times New Roman"/>
          <w:b/>
          <w:sz w:val="26"/>
          <w:szCs w:val="26"/>
        </w:rPr>
        <w:t>даты вывоза</w:t>
      </w:r>
      <w:r>
        <w:rPr>
          <w:rFonts w:cs="Times New Roman" w:ascii="Times New Roman" w:hAnsi="Times New Roman"/>
          <w:sz w:val="26"/>
          <w:szCs w:val="26"/>
        </w:rPr>
        <w:t xml:space="preserve"> провести информирование сотрудников и посетителей о возможности сдать на утилизацию отслужившее электронное и электрическое оборудование.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В день вывоза</w:t>
      </w:r>
      <w:r>
        <w:rPr>
          <w:rFonts w:cs="Times New Roman" w:ascii="Times New Roman" w:hAnsi="Times New Roman"/>
          <w:sz w:val="26"/>
          <w:szCs w:val="26"/>
        </w:rPr>
        <w:t xml:space="preserve"> организовать экомероприятие и провести сбор </w:t>
      </w:r>
      <w:r>
        <w:rPr>
          <w:rFonts w:cs="Times New Roman" w:ascii="Times New Roman" w:hAnsi="Times New Roman"/>
          <w:bCs/>
          <w:sz w:val="26"/>
          <w:szCs w:val="26"/>
        </w:rPr>
        <w:t xml:space="preserve">на территории учреждения </w:t>
      </w:r>
      <w:r>
        <w:rPr>
          <w:rFonts w:cs="Times New Roman" w:ascii="Times New Roman" w:hAnsi="Times New Roman"/>
          <w:sz w:val="26"/>
          <w:szCs w:val="26"/>
        </w:rPr>
        <w:t xml:space="preserve">отработавшего оборудования среди сотрудников и посетителей. Отчёт о проведённом мероприятии необходимо направить по адресу </w:t>
      </w:r>
      <w:r>
        <w:rPr>
          <w:rFonts w:cs="Times New Roman" w:ascii="Times New Roman" w:hAnsi="Times New Roman"/>
          <w:color w:themeColor="accent1" w:themeShade="bf" w:val="2F5496"/>
          <w:sz w:val="26"/>
          <w:szCs w:val="26"/>
          <w:u w:val="single"/>
        </w:rPr>
        <w:t>tatarstan@eko-fond.ru</w:t>
      </w:r>
      <w:r>
        <w:rPr>
          <w:rFonts w:cs="Times New Roman" w:ascii="Times New Roman" w:hAnsi="Times New Roman"/>
          <w:sz w:val="26"/>
          <w:szCs w:val="26"/>
        </w:rPr>
        <w:t xml:space="preserve">. Наиболее яркие кампании будут отмечены на ежегодной федеральной церемонии подведения итогов Программы.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4.2. Информационные материалы для проведения и реализации сбора оборудования от населения предоставляются Фондом дополнительно по запросу.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4.3. Оборудование, собранное в рамках экомероприятия, будет принято отдельно от оборудования организации и не будет отражено в закрывающих документах (т.к. организация не является собственником этих отходов).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4.4. 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5. Порядок участия учреждения в Программе: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5.1. Зарегистрируйте вашу организацию на сайте фонда по адресу: </w:t>
      </w:r>
      <w:hyperlink r:id="rId2">
        <w:r>
          <w:rPr>
            <w:rStyle w:val="Style9"/>
            <w:rFonts w:cs="Times New Roman" w:ascii="Times New Roman" w:hAnsi="Times New Roman"/>
            <w:sz w:val="26"/>
            <w:szCs w:val="26"/>
          </w:rPr>
          <w:t>https://eko-fond.ru/electronics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Если договор был заключен ранее 2025 года, необходима повторная регистрация.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5.2. На указанный при регистрации адрес электронной почты, будет направлено подтверждение регистрации, шаблон заявки на выполнение работ и запрос реквизитов вашей организации.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5.3. На основании присланных вами реквизитов Фонд самостоятельно подготовит договор на участие в программе «Школа утилизации: электроника» и направит вам на подписание в готовом виде.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5.4. 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организуйте процедуру списания в соответствии с утвержденным порядком.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5.5. Координаторы Программы сообщат дату и время вывоза.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5.6. К дате вывоза оборудование должно быть списано, демонтировано, собрано в удобном для выноса из здания помещении. Погрузка производится силами сотрудников вашей организации.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5.7. В Программе принимают участие заявки с минимальным объёмом отходов электронного, электрического оборудования от 1 м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3</w:t>
      </w:r>
      <w:r>
        <w:rPr>
          <w:rFonts w:cs="Times New Roman" w:ascii="Times New Roman" w:hAnsi="Times New Roman"/>
          <w:sz w:val="26"/>
          <w:szCs w:val="26"/>
        </w:rPr>
        <w:t xml:space="preserve"> (~150 кг). Вывоз силами Фонда будет осуществлен от 3 м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3</w:t>
      </w:r>
      <w:r>
        <w:rPr>
          <w:rFonts w:cs="Times New Roman" w:ascii="Times New Roman" w:hAnsi="Times New Roman"/>
          <w:sz w:val="26"/>
          <w:szCs w:val="26"/>
        </w:rPr>
        <w:t xml:space="preserve"> (~ 450 кг). В случае если в Вашем учреждении не образован указанный объем техники, запланированный к передаче на утилизацию, предлагаем </w:t>
      </w:r>
      <w:r>
        <w:rPr>
          <w:rFonts w:cs="Times New Roman" w:ascii="Times New Roman" w:hAnsi="Times New Roman"/>
          <w:sz w:val="28"/>
          <w:szCs w:val="28"/>
        </w:rPr>
        <w:t>накапливать или организовать сбор от сотрудников и посетителей вашей организации для накопления необходимого объема.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5.8. В день вывоза организации предоставляется оформленный акт приема-передачи и спецификация к нему. Экземпляр, подписанный с вашей стороны, необходимо передать водителю.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5.9. Акт утилизации выдаётся по факту утилизации не ранее чем 15 числа месяца, следующего за месяцем, в котором состоялся вывоз оборудования.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случае возникновения вопросов, вы можете обратиться к куратору программы по тел. +7 (965) 176-32-19, или эл.почте </w:t>
      </w:r>
      <w:r>
        <w:rPr>
          <w:rFonts w:cs="Times New Roman" w:ascii="Times New Roman" w:hAnsi="Times New Roman"/>
          <w:color w:themeColor="accent1" w:themeShade="bf" w:val="2F5496"/>
          <w:sz w:val="26"/>
          <w:szCs w:val="26"/>
          <w:u w:val="single"/>
        </w:rPr>
        <w:t>tatarstan@eko-fond.ru</w:t>
      </w:r>
      <w:r>
        <w:rPr>
          <w:rFonts w:cs="Times New Roman" w:ascii="Times New Roman" w:hAnsi="Times New Roman"/>
          <w:color w:themeColor="accent1" w:themeShade="bf" w:val="2F5496"/>
          <w:sz w:val="26"/>
          <w:szCs w:val="26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  <w:r>
        <w:br w:type="page"/>
      </w:r>
    </w:p>
    <w:tbl>
      <w:tblPr>
        <w:tblStyle w:val="a4"/>
        <w:tblW w:w="10218" w:type="dxa"/>
        <w:jc w:val="left"/>
        <w:tblInd w:w="-9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18"/>
      </w:tblGrid>
      <w:tr>
        <w:trPr>
          <w:trHeight w:val="69" w:hRule="atLeast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Приложение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График вывоза утильной техники в 1 полугодии 2026 г. в Республике Татарстан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tbl>
            <w:tblPr>
              <w:tblW w:w="9493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404"/>
              <w:gridCol w:w="7088"/>
            </w:tblGrid>
            <w:tr>
              <w:trPr>
                <w:trHeight w:val="983" w:hRule="atLeast"/>
              </w:trPr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</w:rPr>
                    <w:t>Период проведения</w:t>
                  </w:r>
                </w:p>
              </w:tc>
              <w:tc>
                <w:tcPr>
                  <w:tcW w:w="708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6"/>
                      <w:szCs w:val="26"/>
                    </w:rPr>
                    <w:t>Муниципальные Районы Республики Татарстан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12-13 Марта</w:t>
                  </w:r>
                </w:p>
              </w:tc>
              <w:tc>
                <w:tcPr>
                  <w:tcW w:w="708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г. Казань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26-27 Марта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Новошешминский, Чистопольский, Алексеевский, Лаишевский районы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9-10 Апреля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Сабинский, Тюлячинский, Пестречинский районы, г. Казань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23-24 Апреля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Мензелинский, Тукаевский районы, г. Набережные Челны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6-7 Мая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Зеленодольский район, г. Казань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21-22 Мая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Кайбицкий, Буинский, Дрожжановский районы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4-5 Июня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Арский район, г. Казань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24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25-26 Июня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60" w:before="0"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Ютазинский, Бавлинский, Лениногорский, Черемшанский районы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o-fond.ru/electronic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3</Pages>
  <Words>649</Words>
  <Characters>4546</Characters>
  <CharactersWithSpaces>5163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2026-02-25T08:46:22Z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